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B5D26" w14:textId="092709D4" w:rsidR="005251F4" w:rsidRPr="005251F4" w:rsidRDefault="005251F4" w:rsidP="005251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5251F4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НЕТЕХНИЧЕСКОЕ РЕЗЮМЕ </w:t>
      </w:r>
    </w:p>
    <w:p w14:paraId="75A111AE" w14:textId="77777777" w:rsidR="00732E79" w:rsidRDefault="00732E79" w:rsidP="00732E79">
      <w:pPr>
        <w:spacing w:after="0"/>
        <w:ind w:firstLine="570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bookmarkStart w:id="0" w:name="z96"/>
      <w:r w:rsidRPr="00732E79">
        <w:rPr>
          <w:rFonts w:ascii="Arial" w:eastAsiaTheme="minorHAnsi" w:hAnsi="Arial" w:cs="Arial"/>
          <w:b/>
          <w:bCs/>
          <w:sz w:val="24"/>
          <w:szCs w:val="24"/>
          <w:lang w:val="ru-KZ"/>
        </w:rPr>
        <w:t>ПРОЕКТ НОРМАТИВОВ ДОПУСТИМЫХ ВЫБРОСОВ ЗАГРЯЗНЯЮЩИХ ВЕЩЕСТВ В АТМОСФЕРУ (НДВ) ОТ ОБЪЕКТОВ</w:t>
      </w:r>
      <w:r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</w:t>
      </w:r>
      <w:r w:rsidRPr="00732E79">
        <w:rPr>
          <w:rFonts w:ascii="Arial" w:eastAsiaTheme="minorHAnsi" w:hAnsi="Arial" w:cs="Arial"/>
          <w:b/>
          <w:bCs/>
          <w:sz w:val="24"/>
          <w:szCs w:val="24"/>
          <w:lang w:val="ru-KZ"/>
        </w:rPr>
        <w:t>ТОО «УРИХТАУ ОПЕРЕЙТИНГ» МЕСТОРОЖДЕНИИ УРИХТАУ (ГОРИЗОНТ КТ-1) НА 2025Г</w:t>
      </w:r>
    </w:p>
    <w:p w14:paraId="74F52FD9" w14:textId="40E6E9B8" w:rsidR="00F85A2E" w:rsidRPr="00A10E7B" w:rsidRDefault="00224AA6" w:rsidP="00732E79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- нефтегазоконденсатное месторождение, расположено в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 Актобе. Непосредственно граничит с разрабатываемым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. Относится к Восточно-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</w:t>
      </w:r>
      <w:r w:rsidR="00EF1990" w:rsidRPr="00A10E7B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4DD4FDF7" w14:textId="77777777" w:rsidR="00085ABD" w:rsidRPr="00A10E7B" w:rsidRDefault="00EF1990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7"/>
      <w:bookmarkEnd w:id="0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 административном отношении территория работ расположена в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Байганинском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югу от города Актобе. Месторождение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непосредственно граничит с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разрабатываемым месторождением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. Относится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Восточно-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области. Ближайший населенный пункт к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площадке, существующей ДНС - с. Сага расположен на расстоянии более 12 км. В 5,0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км на север от района работ расположен вахтовый поселок «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». </w:t>
      </w:r>
    </w:p>
    <w:p w14:paraId="24932E24" w14:textId="4E86BF71" w:rsidR="00F85A2E" w:rsidRPr="00F864A5" w:rsidRDefault="005251F4" w:rsidP="005251F4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z98"/>
      <w:bookmarkEnd w:id="1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Н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аименование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инициатора намечаемой деятельности, его контактные данные</w:t>
      </w:r>
      <w:r w:rsidR="00085ABD" w:rsidRPr="00F864A5">
        <w:rPr>
          <w:rFonts w:ascii="Arial" w:hAnsi="Arial" w:cs="Arial"/>
          <w:b/>
          <w:i/>
          <w:color w:val="000000"/>
          <w:sz w:val="24"/>
          <w:szCs w:val="24"/>
          <w:lang w:val="ru-RU"/>
        </w:rPr>
        <w:t>-</w:t>
      </w:r>
      <w:r w:rsidRPr="00F864A5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ТОО «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030006, г. </w:t>
      </w:r>
      <w:proofErr w:type="gram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Актобе  пр.</w:t>
      </w:r>
      <w:proofErr w:type="gram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F864A5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</w:p>
    <w:p w14:paraId="126C91B7" w14:textId="77777777" w:rsidR="00732E79" w:rsidRPr="00732E79" w:rsidRDefault="00F864A5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3" w:name="z99"/>
      <w:bookmarkEnd w:id="2"/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К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раткое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описание намечаемой деятельности:</w:t>
      </w:r>
      <w:r w:rsidR="000A2AF1" w:rsidRPr="00F864A5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bookmarkStart w:id="4" w:name="z109"/>
      <w:bookmarkEnd w:id="3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Проект нормативов допустимых выбросов загрязняющих веществ в атмосферу (НДВ) от объектов ТОО «</w:t>
      </w:r>
      <w:proofErr w:type="spellStart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» месторождении </w:t>
      </w:r>
      <w:proofErr w:type="spellStart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(горизонт КТ-1) на 2025гв Актюбинской области, включает в себя общие сведения о месторождениях, расположенных в </w:t>
      </w:r>
      <w:proofErr w:type="spellStart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области, эксплуатацию которого проводит ТОО «</w:t>
      </w:r>
      <w:proofErr w:type="spellStart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».</w:t>
      </w:r>
    </w:p>
    <w:p w14:paraId="6A1ECC48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u w:val="single"/>
          <w:lang w:val="ru-RU"/>
        </w:rPr>
        <w:t>Целью настоящей работы Проекта НДВ</w:t>
      </w: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является определение количественных и качественных характеристик выбросов вредных веществ в атмосферу источниками предприятия, разработка нормативов НДВ и мероприятий по контролю экологической ситуации в зоне влияния, а также охраны поверхностного слоя земли, поверхностных и подземных вод от загрязнения.</w:t>
      </w:r>
    </w:p>
    <w:p w14:paraId="3A8FC5D7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При освоении скважины на месторождении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источниками загрязнения атмосферного воздуха являются:</w:t>
      </w:r>
    </w:p>
    <w:p w14:paraId="38A5A139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Организованные источники: буровая установка; факельная установка; резервуар.</w:t>
      </w:r>
    </w:p>
    <w:p w14:paraId="4526D28F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• Неорганизованные источники: скважина;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нефтегазосепаратор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; насосная установка для перекачки нефти; емкость для топлива.</w:t>
      </w:r>
    </w:p>
    <w:p w14:paraId="7D68A365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Соответственно на 2025г. на месторождении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количество источников выбросов загрязняющих веществ составит - 29 источников, из них: 17 организованных источников; 12 неорганизованных источников.</w:t>
      </w:r>
    </w:p>
    <w:p w14:paraId="325145AA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Всего стационарными источниками при испытании газовых скважин на 2025 г. от 1 скважины будут выбрасываться 672,98349697–т/год вредных веществ, в том числе газообразных веществ – 651,27420597т/год, твердых веществ – 21,709291т/год. соответственно от 2 скважин будут выбрасываться 1345,966994–т/год вредных веществ, в том числе газообразных веществ – 1302,548412т/год, твердых веществ – 43,418582т/год.</w:t>
      </w:r>
    </w:p>
    <w:p w14:paraId="72EA5ADA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Всего стационарными источниками при освоении нефтяных скважин на 2025 г. от 1 скважины будут выбрасываться 27,11808025–т/год вредных веществ, в том числе газообразных веществ – 26,32875425т/год, твердых веществ – 0,789326т/год. </w:t>
      </w:r>
      <w:r w:rsidRPr="00732E79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соответственно от 5 скважин будут выбрасываться 135,5904013–т/год вредных веществ, в том числе газообразных веществ – 131,6437713т/год, твердых веществ – 3,94663т/год.</w:t>
      </w:r>
    </w:p>
    <w:p w14:paraId="23AC6411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Для проведения расчетов рассеивания загрязняющих веществ в атмосферу использован программный комплекс «Эра», версия 2, НПО «Логос», г. Новосибирск, согласованный с ГГО имени Воейкова,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г.Санкт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-Петербург и МООС Республики Казахстан.</w:t>
      </w:r>
    </w:p>
    <w:p w14:paraId="4BBFD4F4" w14:textId="77777777" w:rsid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По программному комплексу «ЭРА.v2.0», реализующему методику РНД 211.2.01-97 (ОНД-86), разработаны санитарно-защитные зоны (СЗЗ), при максимально возможных за рассматриваемый период выбросах; проведено комплексное моделирование максимальных приземных концентраций. Произведен расчет полей концентраций и определен уровень загрязнения атмосферного воздуха, создаваемого выбросами источников объектов.</w:t>
      </w:r>
    </w:p>
    <w:p w14:paraId="1FC21CCE" w14:textId="6DEFD0B1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5" w:name="z110"/>
      <w:bookmarkEnd w:id="4"/>
      <w:r w:rsidRPr="00732E79">
        <w:rPr>
          <w:rFonts w:ascii="Arial" w:hAnsi="Arial" w:cs="Arial"/>
          <w:color w:val="000000"/>
          <w:sz w:val="24"/>
          <w:szCs w:val="24"/>
          <w:u w:val="single"/>
          <w:lang w:val="ru-RU"/>
        </w:rPr>
        <w:t>Атмосферный воздух.</w:t>
      </w: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Источникам организованных выбросов присвоены четырех разрядные номера, начиная с 0001, а неорганизованных выбросов - с 6001.</w:t>
      </w:r>
    </w:p>
    <w:p w14:paraId="74D7D2EA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На месторождения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на период освоения расположено на 2025г - 29 источников, из них: 17 организованных источников; 12 неорганизованных источников. В процессе работы данных источников выбросов в атмосферу выделяются следующие компоненты: оксид углерода, углеводороды С12-19, сажа, сернистый ангидрид, формальдегид, проп-2-ен-1-аль, диоксид азота, оксид азота, сероводород,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уайт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-спирит, углеводороды С1-5, углеводороды С6-10, бензол, толуол, ксилол,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пентилены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, этилбензол, серная кислота, азотная кислота, взвешенные частицы, натрий хлорид, метан, бензин.</w:t>
      </w:r>
    </w:p>
    <w:p w14:paraId="5E0DC9B1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При освоении скважины на месторождении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источниками загрязнения атмосферного воздуха являются:</w:t>
      </w:r>
    </w:p>
    <w:p w14:paraId="51FF7ACB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Объем работ при испытании газовой скважины №№59Г,61Г составляет на каждую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скв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78,0 суток, из них:</w:t>
      </w:r>
    </w:p>
    <w:p w14:paraId="5116A260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мобилизация БУ – 13,0 суток;</w:t>
      </w:r>
    </w:p>
    <w:p w14:paraId="6C60148A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подготовительные работы– 8,0 суток;</w:t>
      </w:r>
    </w:p>
    <w:p w14:paraId="3D00DFE7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испытание – 50,0 суток.</w:t>
      </w:r>
    </w:p>
    <w:p w14:paraId="659A7ECD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время демонтажа-7,0 суток.</w:t>
      </w:r>
    </w:p>
    <w:p w14:paraId="72FF6F29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Объем работ при освоении нефтяной скважины №№50Н,51Н,52Н,54Н,55Н составляет 40,0 суток, из них:</w:t>
      </w:r>
    </w:p>
    <w:p w14:paraId="4C587F4A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подготовительные работы, мобилизация БУ – 13,0 суток;</w:t>
      </w:r>
    </w:p>
    <w:p w14:paraId="453A9998" w14:textId="74233D79" w:rsid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освоение – 20,0 суток (в том числе факел 7,0 суток);</w:t>
      </w:r>
    </w:p>
    <w:p w14:paraId="4CACEDC9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время демонтажа-7,0 суток.</w:t>
      </w:r>
    </w:p>
    <w:p w14:paraId="212B0A98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при испытании газовых скважин на месторождении</w:t>
      </w:r>
    </w:p>
    <w:p w14:paraId="0B422324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Организованные источники:</w:t>
      </w:r>
    </w:p>
    <w:p w14:paraId="034ADF38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• Источник №0001 Электрогенератор с дизельным приводом (при освоении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скв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№№59Г,61Г);</w:t>
      </w:r>
    </w:p>
    <w:p w14:paraId="6A62113A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• Источник №0002 Буровой насос с дизельным приводом (при освоении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скв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№№59Г,61Г);</w:t>
      </w:r>
    </w:p>
    <w:p w14:paraId="4F3BCC84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• Источник №0003 Буровой насос с дизельным приводом (при освоении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скв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№№59Г,61Г);</w:t>
      </w:r>
    </w:p>
    <w:p w14:paraId="4421CAC1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• Источник №0004 Осветительная мачта с дизельным приводом (при освоении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скв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№№59Г,61Г);</w:t>
      </w:r>
    </w:p>
    <w:p w14:paraId="5F6C300B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№0005-0006 факельная установка;</w:t>
      </w:r>
    </w:p>
    <w:p w14:paraId="547BFF58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• Источник №0007-001- резервуар.</w:t>
      </w:r>
    </w:p>
    <w:p w14:paraId="33FFBBA5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Неорганизованные источники:</w:t>
      </w:r>
    </w:p>
    <w:p w14:paraId="74CE7943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№6001-6002 скважина;</w:t>
      </w:r>
    </w:p>
    <w:p w14:paraId="300EF4C1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• Источник №6003-001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нефтегазосепаратор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14:paraId="48D05BDE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№6004-001 насосная установка для перекачки нефти;</w:t>
      </w:r>
    </w:p>
    <w:p w14:paraId="7C611F9F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№6005-001 емкость для топлива.</w:t>
      </w:r>
    </w:p>
    <w:p w14:paraId="35071E02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во время демонтажа и монтажа буровой установки являются:</w:t>
      </w:r>
    </w:p>
    <w:p w14:paraId="6D170751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Организованные источники:</w:t>
      </w:r>
    </w:p>
    <w:p w14:paraId="2780B167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№0008-001 дизель генератор;</w:t>
      </w:r>
    </w:p>
    <w:p w14:paraId="0F228361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Неорганизованные источники:</w:t>
      </w:r>
    </w:p>
    <w:p w14:paraId="3A16D43D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№6006-001 сварочный пост;</w:t>
      </w:r>
    </w:p>
    <w:p w14:paraId="18D90440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№6007-001 пост газорезки.</w:t>
      </w:r>
    </w:p>
    <w:p w14:paraId="5884C7CA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при освоении нефтяных скважины на месторождении</w:t>
      </w:r>
    </w:p>
    <w:p w14:paraId="78F18797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Организованные источники:</w:t>
      </w:r>
    </w:p>
    <w:p w14:paraId="64EBABAE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• Источник №0009 Электрогенератор с дизельным приводом (при освоении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скв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№№50Н,51Н,52Н,54Н,55Н);</w:t>
      </w:r>
    </w:p>
    <w:p w14:paraId="40262DEB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• Источник №0010 Буровой насос с дизельным приводом (при освоении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скв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№№50Н,51Н,52Н,54Н,55Н);</w:t>
      </w:r>
    </w:p>
    <w:p w14:paraId="13BC65F1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• Источник №0011 Буровой насос с дизельным приводом (при освоении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скв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№№50Н,51Н,52Н,54Н,55Н);</w:t>
      </w:r>
    </w:p>
    <w:p w14:paraId="3D9F92A9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• Источник №0012 Осветительная мачта с дизельным приводом (при освоении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скв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 №№50Н,51Н,52Н,54Н,55Н);</w:t>
      </w:r>
    </w:p>
    <w:p w14:paraId="2DCA3B82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№0013-0017 факельная установка;</w:t>
      </w:r>
    </w:p>
    <w:p w14:paraId="4259A319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№0007-002 резервуар.</w:t>
      </w:r>
    </w:p>
    <w:p w14:paraId="03D2CAC1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Неорганизованные источники:</w:t>
      </w:r>
    </w:p>
    <w:p w14:paraId="48B90B54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№6008-6012 скважина;</w:t>
      </w:r>
    </w:p>
    <w:p w14:paraId="7DF47EB6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 xml:space="preserve">Источник №6003-002 </w:t>
      </w:r>
      <w:proofErr w:type="spellStart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нефтегазосепаратор</w:t>
      </w:r>
      <w:proofErr w:type="spellEnd"/>
      <w:r w:rsidRPr="00732E79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14:paraId="27AE0D38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Источник №6004-002 насосная установка для перекачки нефти;</w:t>
      </w:r>
    </w:p>
    <w:p w14:paraId="5B3DF5FC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Источник №6005-002 емкость для топлива.</w:t>
      </w:r>
    </w:p>
    <w:p w14:paraId="731299D0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Стационарными источниками загрязнения атмосферного воздуха во время демонтажа и монтажа буровой установки являются:</w:t>
      </w:r>
    </w:p>
    <w:p w14:paraId="2BA3B587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Организованные источники:</w:t>
      </w:r>
    </w:p>
    <w:p w14:paraId="4277C459" w14:textId="77777777" w:rsidR="00732E79" w:rsidRP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№0008-002 дизель генератор;</w:t>
      </w:r>
    </w:p>
    <w:p w14:paraId="07B46F0A" w14:textId="77777777" w:rsidR="00732E79" w:rsidRPr="00732E79" w:rsidRDefault="00732E79" w:rsidP="00732E7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Неорганизованные источники:</w:t>
      </w:r>
    </w:p>
    <w:p w14:paraId="06FA4252" w14:textId="1F21A992" w:rsid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№6006-002 сварочный пост;</w:t>
      </w:r>
    </w:p>
    <w:p w14:paraId="6972FDDC" w14:textId="4A37639F" w:rsidR="00732E79" w:rsidRDefault="00732E79" w:rsidP="00732E79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32E79">
        <w:rPr>
          <w:rFonts w:ascii="Arial" w:hAnsi="Arial" w:cs="Arial"/>
          <w:color w:val="000000"/>
          <w:sz w:val="24"/>
          <w:szCs w:val="24"/>
          <w:lang w:val="ru-RU"/>
        </w:rPr>
        <w:t>• Источник №6007-002 пост газорезки.</w:t>
      </w:r>
    </w:p>
    <w:p w14:paraId="4DC9AC40" w14:textId="77777777" w:rsidR="00A351BD" w:rsidRDefault="00F85A2E" w:rsidP="00A351BD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6" w:name="z111"/>
      <w:bookmarkEnd w:id="5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7" w:name="z114"/>
      <w:bookmarkEnd w:id="6"/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Отходы.</w:t>
      </w:r>
      <w:r w:rsid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</w:p>
    <w:p w14:paraId="73B31ADD" w14:textId="6CC7813B" w:rsidR="008D0E8B" w:rsidRPr="00A351BD" w:rsidRDefault="00A351BD" w:rsidP="00732E79">
      <w:pPr>
        <w:spacing w:after="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Количество коммунальных отходов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составля</w:t>
      </w:r>
      <w:r w:rsidR="00732E79">
        <w:rPr>
          <w:rFonts w:ascii="Arial" w:hAnsi="Arial" w:cs="Arial"/>
          <w:color w:val="000000"/>
          <w:sz w:val="24"/>
          <w:szCs w:val="24"/>
          <w:lang w:val="ru-RU"/>
        </w:rPr>
        <w:t>ю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т – </w:t>
      </w:r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5,0918</w:t>
      </w:r>
      <w:r w:rsidR="00732E79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т/год.</w:t>
      </w:r>
      <w:r w:rsidRPr="00A351BD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Промасленная ветошь.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Образуется в процессе использования тряпья для протирки механизмов, деталей, станков и машин. По мере накопления отходы собираются в контейнеры и транспортируются согласно договору со специализированной организацией, которая будет определена посредством проведения тендера. Количество промасленной ветоши составляет – </w:t>
      </w:r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1,0668</w:t>
      </w:r>
      <w:r w:rsidR="00732E79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т/год.</w:t>
      </w:r>
      <w:r w:rsidRPr="00A351BD">
        <w:rPr>
          <w:lang w:val="ru-RU"/>
        </w:rPr>
        <w:t xml:space="preserve"> </w:t>
      </w:r>
      <w:r w:rsidR="00732E79">
        <w:rPr>
          <w:lang w:val="ru-RU"/>
        </w:rPr>
        <w:t xml:space="preserve"> </w:t>
      </w:r>
      <w:r w:rsidRPr="00A351BD">
        <w:rPr>
          <w:rFonts w:ascii="Arial" w:hAnsi="Arial" w:cs="Arial"/>
          <w:color w:val="000000"/>
          <w:sz w:val="24"/>
          <w:szCs w:val="24"/>
          <w:u w:val="single"/>
          <w:lang w:val="ru-RU"/>
        </w:rPr>
        <w:t>Огарки сварочных электродов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 xml:space="preserve"> – представляют собой остатки электродов после использования их при сварочных работах в процессе ремонта основного и вспомогательного оборудования.  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 xml:space="preserve">Количество огарки сварочных электродов при бурении 1 скважины составляет – </w:t>
      </w:r>
      <w:r w:rsidR="00732E79" w:rsidRPr="00732E79">
        <w:rPr>
          <w:rFonts w:ascii="Arial" w:hAnsi="Arial" w:cs="Arial"/>
          <w:color w:val="000000"/>
          <w:sz w:val="24"/>
          <w:szCs w:val="24"/>
          <w:lang w:val="ru-RU"/>
        </w:rPr>
        <w:t>0,0105</w:t>
      </w:r>
      <w:r w:rsidRPr="00A351BD">
        <w:rPr>
          <w:rFonts w:ascii="Arial" w:hAnsi="Arial" w:cs="Arial"/>
          <w:color w:val="000000"/>
          <w:sz w:val="24"/>
          <w:szCs w:val="24"/>
          <w:lang w:val="ru-RU"/>
        </w:rPr>
        <w:t>т/год.</w:t>
      </w:r>
      <w:r w:rsidRPr="00A351BD">
        <w:rPr>
          <w:lang w:val="ru-RU"/>
        </w:rPr>
        <w:t xml:space="preserve"> </w:t>
      </w:r>
    </w:p>
    <w:p w14:paraId="79C98590" w14:textId="24260B44" w:rsidR="00F85A2E" w:rsidRPr="00F864A5" w:rsidRDefault="00F85A2E" w:rsidP="00F85A2E">
      <w:pPr>
        <w:spacing w:after="0"/>
        <w:jc w:val="both"/>
        <w:rPr>
          <w:rFonts w:ascii="Arial" w:hAnsi="Arial" w:cs="Arial"/>
          <w:sz w:val="24"/>
          <w:szCs w:val="24"/>
          <w:u w:val="single"/>
          <w:lang w:val="ru-RU"/>
        </w:rPr>
      </w:pPr>
      <w:bookmarkStart w:id="8" w:name="z116"/>
      <w:bookmarkEnd w:id="7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9" w:name="z124"/>
      <w:bookmarkStart w:id="10" w:name="_GoBack"/>
      <w:bookmarkEnd w:id="8"/>
      <w:bookmarkEnd w:id="10"/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С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писок</w:t>
      </w:r>
      <w:r w:rsidR="00F864A5"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F864A5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источников информации, полученной в ходе выполнения оценки воздействия на окружающую среду.</w:t>
      </w:r>
    </w:p>
    <w:p w14:paraId="5A30275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1" w:name="_Hlk195543756"/>
      <w:r w:rsidRPr="00A10E7B">
        <w:rPr>
          <w:rFonts w:ascii="Arial" w:hAnsi="Arial" w:cs="Arial"/>
          <w:sz w:val="24"/>
          <w:szCs w:val="24"/>
          <w:lang w:val="ru-RU"/>
        </w:rPr>
        <w:t>Перечень нормативных документов</w:t>
      </w:r>
    </w:p>
    <w:p w14:paraId="046246F2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Экологический кодекс РК Кодекс Республики Казахстан от 2 января 2021</w:t>
      </w:r>
    </w:p>
    <w:p w14:paraId="49485B9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года № 400-VI ЗРК.</w:t>
      </w:r>
    </w:p>
    <w:p w14:paraId="77EDEFF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652C4C24" w14:textId="75DEF919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30 июля 2021 года № 280 «Об утверждении Инструкции по организации и проведению экологической оценки».</w:t>
      </w:r>
    </w:p>
    <w:p w14:paraId="6F71DBD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определения нормативов эмиссий в окружающую среду. Приказ</w:t>
      </w:r>
    </w:p>
    <w:p w14:paraId="7E0AB97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Министра экологии, геологии и природных ресурсов РК от 10 марта 2021 года № 63.</w:t>
      </w:r>
    </w:p>
    <w:p w14:paraId="7C7AE53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11B89C71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6 августа 2021 года №314 «Об утверждении Классификатора отходов».</w:t>
      </w:r>
    </w:p>
    <w:p w14:paraId="725661B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76EF419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22 июня 2021 года № 206 «Об утверждении методики расчета лимитов</w:t>
      </w:r>
    </w:p>
    <w:p w14:paraId="53B4C40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накопления отходов и лимитов захоронения отходов».</w:t>
      </w:r>
    </w:p>
    <w:p w14:paraId="58D12FF6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Правил разработки программы производственного экологического контроля</w:t>
      </w:r>
    </w:p>
    <w:p w14:paraId="66DD70D8" w14:textId="083DBF7D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контроля. Приказ Министра экологии, геологии и природных ресурсов Республики Казахстан от 14 июля 2021 года № 250.</w:t>
      </w:r>
    </w:p>
    <w:p w14:paraId="583F08A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Инструкция по определению категории объекта, оказывающего негативное</w:t>
      </w:r>
    </w:p>
    <w:p w14:paraId="057EF6AC" w14:textId="2D91787A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окружающую среду. Приказ Министра экологии, геологии и природных ресурсов Республики Казахстан от 13 июля 2021 года № 246.</w:t>
      </w:r>
    </w:p>
    <w:p w14:paraId="72C9D4B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43F32F9A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9 августа 2021 года № 318 «Об утверждении Правил разработки</w:t>
      </w:r>
    </w:p>
    <w:p w14:paraId="6375F1C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программы управления отходами».</w:t>
      </w:r>
    </w:p>
    <w:p w14:paraId="3ECA0A8F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«Сборник сметных норм и расценок на эксплуатацию строительных машин»,</w:t>
      </w:r>
    </w:p>
    <w:p w14:paraId="6803D58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Астана.</w:t>
      </w:r>
    </w:p>
    <w:p w14:paraId="76249E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нормативов выбросов от неорганизованных источников</w:t>
      </w:r>
    </w:p>
    <w:p w14:paraId="75F38FF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Приложение № 8 к приказу Министра окружающей среды и водных ресурсов</w:t>
      </w:r>
    </w:p>
    <w:p w14:paraId="1BE805E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12 июня 2014 года № 221-Ө.</w:t>
      </w:r>
    </w:p>
    <w:p w14:paraId="2F362CE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11CB0D5E" w14:textId="4796FB94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сварочных работах (по величинам удельных выбросов). РНД 211.2.02.03-2004. Астана,</w:t>
      </w:r>
      <w:r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2005 г.</w:t>
      </w:r>
    </w:p>
    <w:p w14:paraId="35CC775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0009F954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нанесении лакокрасочных материалов (по величинам удельных выбросов). РНД</w:t>
      </w:r>
    </w:p>
    <w:p w14:paraId="19AEC70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211.2.02.05-2004. Астана, 2005.</w:t>
      </w:r>
    </w:p>
    <w:p w14:paraId="61157A1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вредных веществ от предприятий дорожно-</w:t>
      </w:r>
    </w:p>
    <w:p w14:paraId="0FFA584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строительной отрасли, в т.ч. АБЗ. Приложение №12 к Приказу Министра охраны</w:t>
      </w:r>
    </w:p>
    <w:p w14:paraId="1218CCA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Республики Казахстан от 18.04.2008 №100-п.</w:t>
      </w:r>
    </w:p>
    <w:p w14:paraId="5C709D2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Методическим указаниям расчета выбросов от предприятий,</w:t>
      </w:r>
    </w:p>
    <w:p w14:paraId="77E86CDE" w14:textId="611EFDB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осуществляющих хранение и реализацию нефтепродуктов (нефтебазы, АЗС) и других жидкостей и газов. Приложение к приказу Министра охраны окружающей среды Республики Казахстан от 29 июля 2011 года № 196-п.</w:t>
      </w:r>
    </w:p>
    <w:p w14:paraId="2AA579F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Методике расчета выбросов ЗВ в атмосферу на объектах транспорта и</w:t>
      </w:r>
    </w:p>
    <w:p w14:paraId="294488D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хранения газа", 2014 г.</w:t>
      </w:r>
    </w:p>
    <w:p w14:paraId="45427B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Приложение №16 к приказу Министра охраны окружающей среды</w:t>
      </w:r>
    </w:p>
    <w:p w14:paraId="229AA719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«18» 04 2008 г. № 100-п. Методика разработки проектов</w:t>
      </w:r>
    </w:p>
    <w:p w14:paraId="5486BAB6" w14:textId="220920EF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нормативов предельного размещения отходов производства и потребления.</w:t>
      </w:r>
    </w:p>
    <w:bookmarkEnd w:id="9"/>
    <w:bookmarkEnd w:id="11"/>
    <w:p w14:paraId="54EBB54E" w14:textId="77777777" w:rsidR="00A16998" w:rsidRPr="00A10E7B" w:rsidRDefault="00A16998">
      <w:pPr>
        <w:rPr>
          <w:rFonts w:ascii="Arial" w:hAnsi="Arial" w:cs="Arial"/>
          <w:b/>
          <w:i/>
          <w:sz w:val="24"/>
          <w:szCs w:val="24"/>
          <w:lang w:val="ru-RU"/>
        </w:rPr>
      </w:pP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85ABD"/>
    <w:rsid w:val="000A2AF1"/>
    <w:rsid w:val="00224AA6"/>
    <w:rsid w:val="00234D91"/>
    <w:rsid w:val="00270D8E"/>
    <w:rsid w:val="002D7A6B"/>
    <w:rsid w:val="003C1E30"/>
    <w:rsid w:val="003E6049"/>
    <w:rsid w:val="004C3DC0"/>
    <w:rsid w:val="004F7A8C"/>
    <w:rsid w:val="005057AE"/>
    <w:rsid w:val="005251F4"/>
    <w:rsid w:val="006745A6"/>
    <w:rsid w:val="00722FCB"/>
    <w:rsid w:val="00732E79"/>
    <w:rsid w:val="00871E0D"/>
    <w:rsid w:val="008D0E8B"/>
    <w:rsid w:val="009654A1"/>
    <w:rsid w:val="009B7662"/>
    <w:rsid w:val="00A10E7B"/>
    <w:rsid w:val="00A16998"/>
    <w:rsid w:val="00A351BD"/>
    <w:rsid w:val="00A655FE"/>
    <w:rsid w:val="00AE14C2"/>
    <w:rsid w:val="00D12C3B"/>
    <w:rsid w:val="00EF1990"/>
    <w:rsid w:val="00F85A2E"/>
    <w:rsid w:val="00F8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18</cp:revision>
  <dcterms:created xsi:type="dcterms:W3CDTF">2025-04-07T05:53:00Z</dcterms:created>
  <dcterms:modified xsi:type="dcterms:W3CDTF">2025-04-15T06:56:00Z</dcterms:modified>
</cp:coreProperties>
</file>